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21" w:rsidRPr="00042D27" w:rsidRDefault="00B44021" w:rsidP="00B44021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042D2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додаток 1</w:t>
      </w:r>
    </w:p>
    <w:p w:rsidR="00B44021" w:rsidRDefault="00B44021" w:rsidP="00B4402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B47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ВІТ </w:t>
      </w:r>
    </w:p>
    <w:p w:rsidR="00B44021" w:rsidRDefault="00B44021" w:rsidP="00902C98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щодо </w:t>
      </w:r>
      <w:r w:rsidRPr="00902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результатів розгляду судом інформаційних запитів, які надійшли </w:t>
      </w:r>
      <w:r w:rsidRPr="00902C9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 порядку Законів України «Про доступ до публічної інформації», «Про звернення громадян»</w:t>
      </w:r>
      <w:r w:rsidR="00902C98" w:rsidRPr="00902C9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, </w:t>
      </w:r>
      <w:r w:rsidRPr="00902C9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902C98" w:rsidRPr="00902C9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«Про адвокатуру та адвокатську діяльність» </w:t>
      </w:r>
      <w:r w:rsidR="00F70170" w:rsidRPr="00902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протягом І</w:t>
      </w:r>
      <w:r w:rsidR="00357A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І</w:t>
      </w:r>
      <w:r w:rsidR="00F70170" w:rsidRPr="00902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півріччя 2022</w:t>
      </w:r>
      <w:r w:rsidRPr="00902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року</w:t>
      </w:r>
    </w:p>
    <w:p w:rsidR="00B44021" w:rsidRDefault="00B44021" w:rsidP="00B4402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Протягом звіт</w:t>
      </w:r>
      <w:r w:rsidR="005D37C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ного періоду до суду надійшло </w:t>
      </w:r>
      <w:r w:rsidR="00595B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="007832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5</w:t>
      </w:r>
      <w:r w:rsidR="005D37C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інформаційних запитів, з яких, в порядку Закону України «Про дост</w:t>
      </w:r>
      <w:r w:rsidR="00B850E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уп до публічної інформації» - </w:t>
      </w:r>
      <w:r w:rsidR="0045338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в порядку Закону України</w:t>
      </w:r>
      <w:r w:rsidR="00B850E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«Про</w:t>
      </w:r>
      <w:r w:rsidR="00BC2D8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звернення громадян» - </w:t>
      </w:r>
      <w:r w:rsidR="0045338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10</w:t>
      </w:r>
      <w:r w:rsidR="00BC2D8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в порядку Закону України «Про а</w:t>
      </w:r>
      <w:r w:rsidR="00B850E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двокатуру та адвокатську діяль</w:t>
      </w:r>
      <w:r w:rsidR="0045338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ність» - адвокатських запитів -</w:t>
      </w:r>
      <w:r w:rsidR="007832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6</w:t>
      </w:r>
      <w:r w:rsidR="0045338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B850E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B44021" w:rsidRDefault="00B44021" w:rsidP="00DC39AC">
      <w:pPr>
        <w:pStyle w:val="a3"/>
        <w:numPr>
          <w:ilvl w:val="0"/>
          <w:numId w:val="1"/>
        </w:numPr>
        <w:spacing w:before="1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8D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порядку Закону України «Про доступ до публічної інформації» д</w:t>
      </w:r>
      <w:r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суду надійшли</w:t>
      </w:r>
      <w:r w:rsidR="0045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запитів, з яких:</w:t>
      </w:r>
    </w:p>
    <w:p w:rsidR="00B44021" w:rsidRPr="002148D1" w:rsidRDefault="007F47B3" w:rsidP="00B44021">
      <w:pPr>
        <w:pStyle w:val="a3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85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85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переслано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до МОАС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ДСА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B44021" w:rsidRPr="002148D1" w:rsidRDefault="007F47B3" w:rsidP="00B44021">
      <w:pPr>
        <w:pStyle w:val="a3"/>
        <w:numPr>
          <w:ilvl w:val="0"/>
          <w:numId w:val="2"/>
        </w:numPr>
        <w:tabs>
          <w:tab w:val="num" w:pos="360"/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суду із використанням типової форми запиту, розміщеної на веб-сайті Миколаївського окру</w:t>
      </w:r>
      <w:r w:rsidR="00B44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жного адміністративного суду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44021" w:rsidRPr="002148D1" w:rsidRDefault="007F47B3" w:rsidP="00B44021">
      <w:pPr>
        <w:pStyle w:val="a3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довільній письмовій формі. </w:t>
      </w:r>
      <w:r w:rsidR="00B44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4021" w:rsidRPr="002148D1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B44021" w:rsidRDefault="00B44021" w:rsidP="00B4402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Запити стосувалися, зокрема, надання:</w:t>
      </w:r>
    </w:p>
    <w:p w:rsidR="00F84511" w:rsidRPr="00F84511" w:rsidRDefault="005D37CC" w:rsidP="00520122">
      <w:pPr>
        <w:pStyle w:val="a3"/>
        <w:numPr>
          <w:ilvl w:val="0"/>
          <w:numId w:val="3"/>
        </w:numPr>
        <w:tabs>
          <w:tab w:val="left" w:pos="1260"/>
        </w:tabs>
        <w:spacing w:before="120" w:after="0" w:line="240" w:lineRule="auto"/>
        <w:jc w:val="both"/>
        <w:rPr>
          <w:rFonts w:ascii="Symbol" w:eastAsia="Symbol" w:hAnsi="Symbol" w:cs="Symbol"/>
          <w:sz w:val="28"/>
          <w:szCs w:val="28"/>
          <w:lang w:val="uk-UA"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>і</w:t>
      </w:r>
      <w:r w:rsidR="00F84511" w:rsidRP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>нформації</w:t>
      </w:r>
      <w:r w:rsidR="00BC2D86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</w:t>
      </w:r>
      <w:r w:rsidR="00F84511" w:rsidRP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щодо </w:t>
      </w:r>
      <w:r w:rsidR="00E1033A">
        <w:rPr>
          <w:rFonts w:ascii="Times New Roman" w:eastAsia="Symbol" w:hAnsi="Times New Roman" w:cs="Times New Roman"/>
          <w:sz w:val="28"/>
          <w:szCs w:val="28"/>
          <w:lang w:val="uk-UA" w:eastAsia="ru-RU"/>
        </w:rPr>
        <w:t>направлення виконавчих листів по справі</w:t>
      </w:r>
      <w:r w:rsidR="00F84511" w:rsidRP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; </w:t>
      </w:r>
    </w:p>
    <w:p w:rsidR="00F84511" w:rsidRPr="00F84511" w:rsidRDefault="00F84511" w:rsidP="00520122">
      <w:pPr>
        <w:pStyle w:val="a3"/>
        <w:numPr>
          <w:ilvl w:val="0"/>
          <w:numId w:val="3"/>
        </w:numPr>
        <w:tabs>
          <w:tab w:val="left" w:pos="1260"/>
        </w:tabs>
        <w:spacing w:before="120" w:after="0" w:line="240" w:lineRule="auto"/>
        <w:jc w:val="both"/>
        <w:rPr>
          <w:rFonts w:ascii="Symbol" w:eastAsia="Symbol" w:hAnsi="Symbol" w:cs="Symbol"/>
          <w:sz w:val="28"/>
          <w:szCs w:val="28"/>
          <w:lang w:val="uk-UA"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>і</w:t>
      </w:r>
      <w:r w:rsidRP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нформації щодо </w:t>
      </w:r>
      <w:r w:rsidR="00913B06">
        <w:rPr>
          <w:rFonts w:ascii="Times New Roman" w:eastAsia="Symbol" w:hAnsi="Times New Roman" w:cs="Times New Roman"/>
          <w:sz w:val="28"/>
          <w:szCs w:val="28"/>
          <w:lang w:val="uk-UA" w:eastAsia="ru-RU"/>
        </w:rPr>
        <w:t>не</w:t>
      </w:r>
      <w:r w:rsidR="00E1033A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можливості здійснення надсилання паперових документів поштою через </w:t>
      </w:r>
      <w:proofErr w:type="spellStart"/>
      <w:r w:rsidR="00E1033A">
        <w:rPr>
          <w:rFonts w:ascii="Times New Roman" w:eastAsia="Symbol" w:hAnsi="Times New Roman" w:cs="Times New Roman"/>
          <w:sz w:val="28"/>
          <w:szCs w:val="28"/>
          <w:lang w:val="uk-UA" w:eastAsia="ru-RU"/>
        </w:rPr>
        <w:t>неоплату</w:t>
      </w:r>
      <w:proofErr w:type="spellEnd"/>
      <w:r w:rsidR="00E1033A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послуг зв’язку, відсутності поштових марок тощо</w:t>
      </w:r>
      <w:r w:rsidRP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>;</w:t>
      </w:r>
      <w:r w:rsidR="00E1033A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</w:t>
      </w:r>
      <w:r w:rsidR="00913B06">
        <w:rPr>
          <w:rFonts w:ascii="Times New Roman" w:eastAsia="Symbol" w:hAnsi="Times New Roman" w:cs="Times New Roman"/>
          <w:sz w:val="28"/>
          <w:szCs w:val="28"/>
          <w:lang w:val="uk-UA" w:eastAsia="ru-RU"/>
        </w:rPr>
        <w:t>не</w:t>
      </w:r>
      <w:r w:rsidR="00E1033A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можливості здійснення одержання паперових документів поштою через </w:t>
      </w:r>
      <w:proofErr w:type="spellStart"/>
      <w:r w:rsidR="00E1033A">
        <w:rPr>
          <w:rFonts w:ascii="Times New Roman" w:eastAsia="Symbol" w:hAnsi="Times New Roman" w:cs="Times New Roman"/>
          <w:sz w:val="28"/>
          <w:szCs w:val="28"/>
          <w:lang w:val="uk-UA" w:eastAsia="ru-RU"/>
        </w:rPr>
        <w:t>неоплату</w:t>
      </w:r>
      <w:proofErr w:type="spellEnd"/>
      <w:r w:rsidR="00E1033A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послуг зв’язку, кур’єрської доставки відправлень до будівлі суду, відсутності співробітників суду для здійснення одержання поштової кореспонденції тощо; </w:t>
      </w:r>
    </w:p>
    <w:p w:rsidR="00B44021" w:rsidRPr="00F84511" w:rsidRDefault="00BC2D86" w:rsidP="00520122">
      <w:pPr>
        <w:pStyle w:val="a3"/>
        <w:numPr>
          <w:ilvl w:val="0"/>
          <w:numId w:val="3"/>
        </w:numPr>
        <w:tabs>
          <w:tab w:val="left" w:pos="1260"/>
        </w:tabs>
        <w:spacing w:before="120" w:after="0" w:line="240" w:lineRule="auto"/>
        <w:jc w:val="both"/>
        <w:rPr>
          <w:rFonts w:ascii="Symbol" w:eastAsia="Symbol" w:hAnsi="Symbol" w:cs="Symbo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</w:t>
      </w:r>
      <w:r w:rsidR="00B44021" w:rsidRP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E1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припинення відправки вихідної кореспонденції засобами поштового зв’язку</w:t>
      </w:r>
      <w:r w:rsidR="00B44021" w:rsidRP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DC4A1E" w:rsidRPr="00F84511" w:rsidRDefault="00DC4A1E" w:rsidP="00F93272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щодо </w:t>
      </w:r>
      <w:r w:rsidR="00E1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копій Добровільної Декларації суддів про приватні інтереси</w:t>
      </w:r>
      <w:r w:rsidRP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4A1E" w:rsidRPr="00DC4A1E" w:rsidRDefault="00DC4A1E" w:rsidP="00DC4A1E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7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нарахування </w:t>
      </w:r>
      <w:r w:rsidR="00933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середньомісячного</w:t>
      </w:r>
      <w:r w:rsidR="00527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заробітку працівникам апарату судів та суддям після 19.07.2022 року, які були мобілізовані (або проходять службу за контрактом)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4A1E" w:rsidRDefault="00B44021" w:rsidP="00B44021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щодо</w:t>
      </w:r>
      <w:r w:rsidR="00933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направлення справи до апеляційної інстанції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4A1E" w:rsidRDefault="0093331E" w:rsidP="00B44021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</w:t>
      </w:r>
      <w:r w:rsid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надходження позовної заяви до суду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637BE3" w:rsidRDefault="0093331E" w:rsidP="00B44021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щодо кількості адміністративних позовів про визнання протиправною та скасування постанови Державної служби України з безпеки на транспорті  за 10 місяців 2022 року</w:t>
      </w:r>
      <w:r w:rsidR="00637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(кількості адміністративних позовів, по яким відкрито провадження у справі; </w:t>
      </w:r>
      <w:r w:rsidR="00637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кількості адміністративних позовів, де задоволено позовні вимоги; кількості адміністративних позовів, де відмовлено в задоволені позову);</w:t>
      </w:r>
    </w:p>
    <w:p w:rsidR="00ED6196" w:rsidRDefault="00ED6196" w:rsidP="00B44021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щодо випадків перебування суддів на окупованій території та припинення виплати суддівської винагороди.</w:t>
      </w:r>
    </w:p>
    <w:p w:rsidR="00B44021" w:rsidRDefault="00B44021" w:rsidP="00B44021">
      <w:pPr>
        <w:pStyle w:val="a3"/>
        <w:tabs>
          <w:tab w:val="left" w:pos="720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44021" w:rsidRDefault="00B44021" w:rsidP="00B44021">
      <w:pPr>
        <w:pStyle w:val="a3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інформаційні запити розглянуті в порядку і строки Закону України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«Про доступ до публічної інформації».</w:t>
      </w:r>
    </w:p>
    <w:p w:rsidR="007B1B88" w:rsidRPr="007B1B88" w:rsidRDefault="007B1B88" w:rsidP="007B1B88">
      <w:pPr>
        <w:tabs>
          <w:tab w:val="left" w:pos="851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5D37CC" w:rsidRPr="007B1B88" w:rsidRDefault="00B44021" w:rsidP="00DC39AC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B1B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порядку Закону України «Про звернення громадян» відділом фінансової діяльності та господарського забезпечення </w:t>
      </w:r>
      <w:r w:rsidR="007C7ECC" w:rsidRP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розглянуто </w:t>
      </w:r>
      <w:r w:rsidR="00462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щодо повернення помилково сплаченого судового збору на р</w:t>
      </w:r>
      <w:r w:rsidR="007C7ECC" w:rsidRP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ахунок суду (від фізичних осіб</w:t>
      </w:r>
      <w:r w:rsidR="00E24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-3, від юридичних осіб - 4</w:t>
      </w:r>
      <w:r w:rsidR="005D37CC" w:rsidRP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D37CC" w:rsidRDefault="005D37CC" w:rsidP="005D37CC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B4402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того ж судом за </w:t>
      </w:r>
      <w:r w:rsidR="00F8451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перше </w:t>
      </w:r>
      <w:r w:rsidR="00B4402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півріччя 20</w:t>
      </w:r>
      <w:r w:rsidR="00F8451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B4402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розглянуто </w:t>
      </w:r>
      <w:r w:rsidR="00113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B4402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запитів з посиланням на Закон України «Про звернення громадян». </w:t>
      </w:r>
    </w:p>
    <w:p w:rsidR="00B44021" w:rsidRPr="005D37CC" w:rsidRDefault="005D37CC" w:rsidP="005D37CC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13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</w:t>
      </w:r>
      <w:r w:rsidR="00113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итів</w:t>
      </w:r>
      <w:r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направлені до суду із використанням типової форми запиту, розміщеної на веб-сайті Миколаївського окружного адміністративного суду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113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113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звернення у довільній письмовій формі.</w:t>
      </w:r>
    </w:p>
    <w:p w:rsidR="00B44021" w:rsidRPr="00FF4F8C" w:rsidRDefault="00B4402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Запити стосувалися, зокрема, щодо надання інформації:</w:t>
      </w:r>
    </w:p>
    <w:p w:rsidR="00B44021" w:rsidRPr="00FF4F8C" w:rsidRDefault="00B44021" w:rsidP="00F8451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24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направлення адміністративних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</w:t>
      </w:r>
      <w:r w:rsidR="00E24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апеляційної інстанції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F84511" w:rsidRDefault="00B4402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</w:t>
      </w:r>
      <w:r w:rsidR="00E24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дати розгляду справи</w:t>
      </w:r>
      <w:r w:rsid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F84511" w:rsidRDefault="00F8451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стану розгляду адміністративн</w:t>
      </w:r>
      <w:r w:rsidR="00E24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справ;</w:t>
      </w:r>
    </w:p>
    <w:p w:rsidR="00F84511" w:rsidRDefault="00F8451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</w:t>
      </w:r>
      <w:r w:rsidR="00E24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копії судового рішення; </w:t>
      </w:r>
    </w:p>
    <w:p w:rsidR="00F84511" w:rsidRDefault="00F8451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</w:t>
      </w:r>
      <w:r w:rsidR="00E24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направлення виконавчих листів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84511" w:rsidRDefault="003A2E26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</w:t>
      </w:r>
      <w:r w:rsidR="00E24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надходження позовної заяви до суду</w:t>
      </w:r>
      <w:r w:rsidR="00170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4021" w:rsidRPr="00385BF0" w:rsidRDefault="00B4402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такі запити судом надані відповіді в порядку і строки Закону У</w:t>
      </w:r>
      <w:r w:rsid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 «Про звернення громадян» та роз’яснено порядок отримання інформації по адміністративним справам</w:t>
      </w:r>
      <w:r w:rsid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5BF0" w:rsidRP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подачі відповідних заяв по конкретним справам</w:t>
      </w:r>
      <w:r w:rsid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зазначенням того, що відправлення правосуддя здійснюється виключно відповідно до положень Кодексу адміністративного судочинства України і не є предметом регулювання Закону України «Про звернення громадян».</w:t>
      </w:r>
      <w:r w:rsid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4021" w:rsidRDefault="00B44021" w:rsidP="00B4402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всі звернення надані відповіді в установленому законодавств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BC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строки.</w:t>
      </w:r>
    </w:p>
    <w:p w:rsidR="003F2AE5" w:rsidRPr="00FF4F8C" w:rsidRDefault="00BC2D86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A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порядку </w:t>
      </w:r>
      <w:r w:rsidR="003F2A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Закону України «Про адвокатуру та адвокатську діяльність» до суду надійшло </w:t>
      </w:r>
      <w:r w:rsidR="007832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6</w:t>
      </w:r>
      <w:r w:rsidR="003F2A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адвокатських запитів</w:t>
      </w:r>
      <w:r w:rsidRPr="003F2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F2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якім </w:t>
      </w:r>
      <w:r w:rsidR="003F2AE5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стосувалися, зокрема</w:t>
      </w:r>
      <w:r w:rsidR="003F2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F2AE5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інформації:</w:t>
      </w:r>
    </w:p>
    <w:p w:rsidR="003F2AE5" w:rsidRDefault="003F2AE5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38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належним чином засвідчених документів по справі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3F2AE5" w:rsidRDefault="003F2AE5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щодо </w:t>
      </w:r>
      <w:r w:rsidR="0038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програмного забезпечення «Акорд»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3F2AE5" w:rsidRDefault="003F2AE5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</w:t>
      </w:r>
      <w:r w:rsidR="00221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надходження позовної заяви та наявність обмежень у роботі суду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01B" w:rsidRDefault="003F2AE5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</w:t>
      </w:r>
      <w:r w:rsidR="00221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стану розгляду справи;</w:t>
      </w:r>
    </w:p>
    <w:p w:rsidR="003F2AE5" w:rsidRDefault="006006A1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</w:t>
      </w:r>
      <w:r w:rsidR="00432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набрання судовим рішенням законної сили.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44021" w:rsidRPr="00902C98" w:rsidRDefault="00B44021" w:rsidP="00902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складено на підставі номенклатурних справ суду 02-14 (Листування з розгляду звернень громадян в порядку ЗУ «Про звернення громадян» та ЗУ «Про доступ до публічної інформації»</w:t>
      </w:r>
      <w:r w:rsidR="00902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006A1" w:rsidRPr="006006A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6006A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ЗУ «Про адвокатуру та адвокатську діяльність»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05-26 (Документи (листи, довідки) щодо сплати судового збору).</w:t>
      </w:r>
    </w:p>
    <w:p w:rsidR="00B44021" w:rsidRDefault="00B44021" w:rsidP="00B44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4021" w:rsidRDefault="00B44021" w:rsidP="00B44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4021" w:rsidRDefault="00B44021" w:rsidP="001C38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керівника апарату                                      </w:t>
      </w:r>
      <w:r w:rsidR="001C3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913B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Ю.Г. Гурова</w:t>
      </w:r>
      <w:bookmarkStart w:id="0" w:name="_GoBack"/>
      <w:bookmarkEnd w:id="0"/>
    </w:p>
    <w:p w:rsidR="00FB124C" w:rsidRDefault="00FB124C"/>
    <w:sectPr w:rsidR="00FB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4143"/>
    <w:multiLevelType w:val="hybridMultilevel"/>
    <w:tmpl w:val="1EDAFA06"/>
    <w:lvl w:ilvl="0" w:tplc="F10E422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0394EF7"/>
    <w:multiLevelType w:val="hybridMultilevel"/>
    <w:tmpl w:val="85FA38E8"/>
    <w:lvl w:ilvl="0" w:tplc="32041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570E41"/>
    <w:multiLevelType w:val="hybridMultilevel"/>
    <w:tmpl w:val="21D8AD00"/>
    <w:lvl w:ilvl="0" w:tplc="9006DDEC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25"/>
    <w:rsid w:val="00113F57"/>
    <w:rsid w:val="00170156"/>
    <w:rsid w:val="001C38EA"/>
    <w:rsid w:val="0022101B"/>
    <w:rsid w:val="00357AAC"/>
    <w:rsid w:val="00381A82"/>
    <w:rsid w:val="00385BF0"/>
    <w:rsid w:val="003A2E26"/>
    <w:rsid w:val="003F0520"/>
    <w:rsid w:val="003F2AE5"/>
    <w:rsid w:val="00432BF7"/>
    <w:rsid w:val="0045338D"/>
    <w:rsid w:val="0046225C"/>
    <w:rsid w:val="00520122"/>
    <w:rsid w:val="00527BE8"/>
    <w:rsid w:val="00560618"/>
    <w:rsid w:val="00595BDA"/>
    <w:rsid w:val="005D37CC"/>
    <w:rsid w:val="006006A1"/>
    <w:rsid w:val="00637BE3"/>
    <w:rsid w:val="00675B7B"/>
    <w:rsid w:val="00783264"/>
    <w:rsid w:val="007B1B88"/>
    <w:rsid w:val="007C7ECC"/>
    <w:rsid w:val="007F47B3"/>
    <w:rsid w:val="008D0125"/>
    <w:rsid w:val="00902C98"/>
    <w:rsid w:val="00913B06"/>
    <w:rsid w:val="0093331E"/>
    <w:rsid w:val="00B44021"/>
    <w:rsid w:val="00B850EE"/>
    <w:rsid w:val="00BC2D86"/>
    <w:rsid w:val="00DC39AC"/>
    <w:rsid w:val="00DC4A1E"/>
    <w:rsid w:val="00E1033A"/>
    <w:rsid w:val="00E2439A"/>
    <w:rsid w:val="00ED6196"/>
    <w:rsid w:val="00F608AE"/>
    <w:rsid w:val="00F70170"/>
    <w:rsid w:val="00F84511"/>
    <w:rsid w:val="00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4FDA"/>
  <w15:chartTrackingRefBased/>
  <w15:docId w15:val="{9DAB5BE2-6B1B-4BAA-BD9B-54F2741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2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2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2023-01-24T09:31:00Z</cp:lastPrinted>
  <dcterms:created xsi:type="dcterms:W3CDTF">2023-01-23T11:10:00Z</dcterms:created>
  <dcterms:modified xsi:type="dcterms:W3CDTF">2023-01-24T09:44:00Z</dcterms:modified>
</cp:coreProperties>
</file>