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69BB" w:rsidRPr="009F3D42" w:rsidRDefault="002A69BB" w:rsidP="002A69BB">
      <w:pPr>
        <w:pStyle w:val="a6"/>
        <w:jc w:val="center"/>
        <w:rPr>
          <w:rFonts w:ascii="Times New Roman" w:hAnsi="Times New Roman" w:cs="Times New Roman"/>
          <w:b/>
          <w:sz w:val="24"/>
          <w:szCs w:val="24"/>
        </w:rPr>
      </w:pPr>
      <w:r w:rsidRPr="009F3D42">
        <w:rPr>
          <w:rFonts w:ascii="Times New Roman" w:hAnsi="Times New Roman" w:cs="Times New Roman"/>
          <w:b/>
          <w:sz w:val="24"/>
          <w:szCs w:val="24"/>
        </w:rPr>
        <w:t>Миколаївський окружний адміністративний суд</w:t>
      </w:r>
    </w:p>
    <w:p w:rsidR="002A69BB" w:rsidRPr="009F3D42" w:rsidRDefault="002A69BB" w:rsidP="002A69BB">
      <w:pPr>
        <w:pStyle w:val="a6"/>
        <w:jc w:val="center"/>
        <w:rPr>
          <w:rFonts w:ascii="Times New Roman" w:hAnsi="Times New Roman" w:cs="Times New Roman"/>
          <w:b/>
          <w:sz w:val="24"/>
          <w:szCs w:val="24"/>
        </w:rPr>
      </w:pPr>
      <w:r w:rsidRPr="009F3D42">
        <w:rPr>
          <w:rFonts w:ascii="Times New Roman" w:hAnsi="Times New Roman" w:cs="Times New Roman"/>
          <w:b/>
          <w:sz w:val="24"/>
          <w:szCs w:val="24"/>
        </w:rPr>
        <w:t>(код ЄДРПОУ 35356555)</w:t>
      </w:r>
    </w:p>
    <w:p w:rsidR="002A69BB" w:rsidRPr="009F3D42" w:rsidRDefault="002A69BB" w:rsidP="002A69BB">
      <w:pPr>
        <w:pStyle w:val="a6"/>
        <w:jc w:val="both"/>
        <w:rPr>
          <w:rFonts w:ascii="Times New Roman" w:hAnsi="Times New Roman" w:cs="Times New Roman"/>
          <w:i/>
          <w:sz w:val="24"/>
          <w:szCs w:val="24"/>
          <w:lang w:eastAsia="en-US"/>
        </w:rPr>
      </w:pPr>
    </w:p>
    <w:p w:rsidR="002A69BB" w:rsidRPr="009F3D42" w:rsidRDefault="002A69BB" w:rsidP="002A69BB">
      <w:pPr>
        <w:pStyle w:val="a6"/>
        <w:jc w:val="center"/>
        <w:rPr>
          <w:rFonts w:ascii="Times New Roman" w:hAnsi="Times New Roman" w:cs="Times New Roman"/>
          <w:b/>
          <w:sz w:val="24"/>
          <w:szCs w:val="24"/>
          <w:lang w:eastAsia="en-US"/>
        </w:rPr>
      </w:pPr>
      <w:r w:rsidRPr="009F3D42">
        <w:rPr>
          <w:rFonts w:ascii="Times New Roman" w:hAnsi="Times New Roman" w:cs="Times New Roman"/>
          <w:b/>
          <w:sz w:val="24"/>
          <w:szCs w:val="24"/>
          <w:lang w:eastAsia="en-US"/>
        </w:rPr>
        <w:t>ОБҐРУНТУВАННЯ</w:t>
      </w:r>
    </w:p>
    <w:p w:rsidR="002A69BB" w:rsidRPr="009F3D42" w:rsidRDefault="002A69BB" w:rsidP="002A69BB">
      <w:pPr>
        <w:pStyle w:val="a6"/>
        <w:jc w:val="center"/>
        <w:rPr>
          <w:rFonts w:ascii="Times New Roman" w:hAnsi="Times New Roman" w:cs="Times New Roman"/>
          <w:sz w:val="24"/>
          <w:szCs w:val="24"/>
          <w:u w:val="single"/>
          <w:lang w:eastAsia="en-US"/>
        </w:rPr>
      </w:pPr>
      <w:r w:rsidRPr="009F3D42">
        <w:rPr>
          <w:rFonts w:ascii="Times New Roman" w:hAnsi="Times New Roman" w:cs="Times New Roman"/>
          <w:sz w:val="24"/>
          <w:szCs w:val="24"/>
          <w:lang w:eastAsia="en-US"/>
        </w:rPr>
        <w:t xml:space="preserve">технічних та якісних характеристик закупівлі </w:t>
      </w:r>
      <w:r w:rsidR="00EE54D0">
        <w:rPr>
          <w:rFonts w:ascii="Times New Roman" w:hAnsi="Times New Roman" w:cs="Times New Roman"/>
          <w:sz w:val="24"/>
          <w:szCs w:val="24"/>
        </w:rPr>
        <w:t xml:space="preserve">послуг з супроводження програмного забезпечення для автоматизації документообігу </w:t>
      </w:r>
      <w:r w:rsidR="00A30CCD" w:rsidRPr="00B524D7">
        <w:rPr>
          <w:rFonts w:ascii="Times New Roman" w:hAnsi="Times New Roman" w:cs="Times New Roman"/>
          <w:sz w:val="24"/>
          <w:szCs w:val="24"/>
        </w:rPr>
        <w:t xml:space="preserve"> Миколаївськ</w:t>
      </w:r>
      <w:r w:rsidR="00A30CCD">
        <w:rPr>
          <w:rFonts w:ascii="Times New Roman" w:hAnsi="Times New Roman" w:cs="Times New Roman"/>
          <w:sz w:val="24"/>
          <w:szCs w:val="24"/>
        </w:rPr>
        <w:t>ого окружного адміністративного суду</w:t>
      </w:r>
      <w:r w:rsidRPr="009F3D42">
        <w:rPr>
          <w:rFonts w:ascii="Times New Roman" w:hAnsi="Times New Roman" w:cs="Times New Roman"/>
          <w:sz w:val="24"/>
          <w:szCs w:val="24"/>
          <w:lang w:eastAsia="en-US"/>
        </w:rPr>
        <w:t>, розміру бюджетного призначення, очікуваної вартості предмета закупівлі</w:t>
      </w:r>
    </w:p>
    <w:p w:rsidR="002A69BB" w:rsidRDefault="002A69BB" w:rsidP="002A69BB">
      <w:pPr>
        <w:pStyle w:val="a6"/>
        <w:jc w:val="center"/>
        <w:rPr>
          <w:rFonts w:ascii="Times New Roman" w:hAnsi="Times New Roman" w:cs="Times New Roman"/>
          <w:i/>
          <w:sz w:val="24"/>
          <w:szCs w:val="24"/>
          <w:lang w:eastAsia="en-US"/>
        </w:rPr>
      </w:pPr>
      <w:r w:rsidRPr="009F3D42">
        <w:rPr>
          <w:rFonts w:ascii="Times New Roman" w:hAnsi="Times New Roman" w:cs="Times New Roman"/>
          <w:i/>
          <w:sz w:val="24"/>
          <w:szCs w:val="24"/>
          <w:lang w:eastAsia="en-US"/>
        </w:rPr>
        <w:t>(оприлюднюється на виконання постанови КМУ № 710 від 11.10.2016 «Про ефективне використання державних коштів» (зі змінами))</w:t>
      </w:r>
    </w:p>
    <w:p w:rsidR="002316FA" w:rsidRDefault="002316FA" w:rsidP="002A69BB">
      <w:pPr>
        <w:pStyle w:val="a6"/>
        <w:jc w:val="center"/>
        <w:rPr>
          <w:rFonts w:ascii="Times New Roman" w:hAnsi="Times New Roman" w:cs="Times New Roman"/>
          <w:i/>
          <w:sz w:val="24"/>
          <w:szCs w:val="24"/>
          <w:lang w:eastAsia="en-US"/>
        </w:rPr>
      </w:pPr>
      <w:bookmarkStart w:id="0" w:name="_GoBack"/>
      <w:bookmarkEnd w:id="0"/>
    </w:p>
    <w:p w:rsidR="002A69BB" w:rsidRPr="009F3D42" w:rsidRDefault="008825A0" w:rsidP="008825A0">
      <w:pPr>
        <w:pStyle w:val="a6"/>
        <w:ind w:firstLine="567"/>
        <w:jc w:val="both"/>
        <w:rPr>
          <w:rFonts w:ascii="Times New Roman" w:hAnsi="Times New Roman" w:cs="Times New Roman"/>
          <w:i/>
          <w:sz w:val="24"/>
          <w:szCs w:val="24"/>
          <w:lang w:eastAsia="en-US"/>
        </w:rPr>
      </w:pPr>
      <w:r w:rsidRPr="008825A0">
        <w:rPr>
          <w:rFonts w:ascii="Times New Roman" w:hAnsi="Times New Roman" w:cs="Times New Roman"/>
          <w:b/>
          <w:sz w:val="24"/>
          <w:szCs w:val="24"/>
        </w:rPr>
        <w:t>Ідентифікатор закупівлі</w:t>
      </w:r>
      <w:r>
        <w:rPr>
          <w:rFonts w:ascii="Times New Roman" w:hAnsi="Times New Roman" w:cs="Times New Roman"/>
          <w:b/>
          <w:sz w:val="24"/>
          <w:szCs w:val="24"/>
        </w:rPr>
        <w:t xml:space="preserve">: </w:t>
      </w:r>
      <w:r>
        <w:rPr>
          <w:rFonts w:ascii="Arial" w:hAnsi="Arial" w:cs="Arial"/>
          <w:color w:val="333333"/>
          <w:sz w:val="20"/>
          <w:szCs w:val="20"/>
          <w:shd w:val="clear" w:color="auto" w:fill="FFFFFF"/>
        </w:rPr>
        <w:t>UA-2022-02-03-005435-b</w:t>
      </w:r>
    </w:p>
    <w:p w:rsidR="002A69BB" w:rsidRPr="009F3D42" w:rsidRDefault="002A69BB" w:rsidP="002A69BB">
      <w:pPr>
        <w:pStyle w:val="a6"/>
        <w:ind w:firstLine="284"/>
        <w:jc w:val="both"/>
        <w:rPr>
          <w:rFonts w:ascii="Times New Roman" w:hAnsi="Times New Roman" w:cs="Times New Roman"/>
          <w:color w:val="000000"/>
          <w:sz w:val="24"/>
          <w:szCs w:val="24"/>
          <w:lang w:eastAsia="en-US"/>
        </w:rPr>
      </w:pPr>
      <w:r w:rsidRPr="009F3D42">
        <w:rPr>
          <w:rFonts w:ascii="Times New Roman" w:hAnsi="Times New Roman" w:cs="Times New Roman"/>
          <w:sz w:val="24"/>
          <w:szCs w:val="24"/>
          <w:lang w:eastAsia="en-US"/>
        </w:rPr>
        <w:t xml:space="preserve">    </w:t>
      </w:r>
      <w:r w:rsidRPr="009F3D42">
        <w:rPr>
          <w:rFonts w:ascii="Times New Roman" w:hAnsi="Times New Roman" w:cs="Times New Roman"/>
          <w:b/>
          <w:sz w:val="24"/>
          <w:szCs w:val="24"/>
          <w:lang w:eastAsia="en-US"/>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r w:rsidRPr="009F3D42">
        <w:rPr>
          <w:rFonts w:ascii="Times New Roman" w:hAnsi="Times New Roman" w:cs="Times New Roman"/>
          <w:i/>
          <w:sz w:val="24"/>
          <w:szCs w:val="24"/>
          <w:lang w:eastAsia="en-US"/>
        </w:rPr>
        <w:t xml:space="preserve"> </w:t>
      </w:r>
      <w:r w:rsidRPr="009F3D42">
        <w:rPr>
          <w:rFonts w:ascii="Times New Roman" w:hAnsi="Times New Roman" w:cs="Times New Roman"/>
          <w:color w:val="000000"/>
          <w:sz w:val="24"/>
          <w:szCs w:val="24"/>
          <w:lang w:eastAsia="en-US"/>
        </w:rPr>
        <w:t xml:space="preserve"> Миколаївський окружний адміністративний суд, вул. Декабристів, 41/10, 35356555, орган державної влади, згідно п.1 ч.1 ст.2 Закону України «Про публічні закупівлі».</w:t>
      </w:r>
    </w:p>
    <w:p w:rsidR="002A69BB" w:rsidRPr="009F3D42" w:rsidRDefault="002A69BB" w:rsidP="002A69BB">
      <w:pPr>
        <w:pStyle w:val="a6"/>
        <w:ind w:firstLine="426"/>
        <w:jc w:val="both"/>
        <w:rPr>
          <w:rFonts w:ascii="Times New Roman" w:hAnsi="Times New Roman" w:cs="Times New Roman"/>
          <w:bCs/>
          <w:sz w:val="24"/>
          <w:szCs w:val="24"/>
        </w:rPr>
      </w:pPr>
      <w:r w:rsidRPr="009F3D42">
        <w:rPr>
          <w:rFonts w:ascii="Times New Roman" w:hAnsi="Times New Roman" w:cs="Times New Roman"/>
          <w:sz w:val="24"/>
          <w:szCs w:val="24"/>
        </w:rPr>
        <w:t xml:space="preserve"> </w:t>
      </w:r>
      <w:r w:rsidRPr="009F3D42">
        <w:rPr>
          <w:rFonts w:ascii="Times New Roman" w:hAnsi="Times New Roman" w:cs="Times New Roman"/>
          <w:b/>
          <w:sz w:val="24"/>
          <w:szCs w:val="24"/>
        </w:rPr>
        <w:t>Назва предмета закупівлі</w:t>
      </w:r>
      <w:r w:rsidRPr="009F3D42">
        <w:rPr>
          <w:rFonts w:ascii="Times New Roman" w:hAnsi="Times New Roman" w:cs="Times New Roman"/>
          <w:sz w:val="24"/>
          <w:szCs w:val="24"/>
          <w:lang w:val="ru-RU"/>
        </w:rPr>
        <w:t xml:space="preserve"> </w:t>
      </w:r>
      <w:proofErr w:type="spellStart"/>
      <w:r w:rsidRPr="009F3D42">
        <w:rPr>
          <w:rFonts w:ascii="Times New Roman" w:hAnsi="Times New Roman" w:cs="Times New Roman"/>
          <w:b/>
          <w:sz w:val="24"/>
          <w:szCs w:val="24"/>
          <w:lang w:val="ru-RU"/>
        </w:rPr>
        <w:t>із</w:t>
      </w:r>
      <w:proofErr w:type="spellEnd"/>
      <w:r w:rsidRPr="009F3D42">
        <w:rPr>
          <w:rFonts w:ascii="Times New Roman" w:hAnsi="Times New Roman" w:cs="Times New Roman"/>
          <w:b/>
          <w:sz w:val="24"/>
          <w:szCs w:val="24"/>
          <w:lang w:val="ru-RU"/>
        </w:rPr>
        <w:t xml:space="preserve"> </w:t>
      </w:r>
      <w:proofErr w:type="spellStart"/>
      <w:r w:rsidRPr="009F3D42">
        <w:rPr>
          <w:rFonts w:ascii="Times New Roman" w:hAnsi="Times New Roman" w:cs="Times New Roman"/>
          <w:b/>
          <w:sz w:val="24"/>
          <w:szCs w:val="24"/>
          <w:lang w:val="ru-RU"/>
        </w:rPr>
        <w:t>зазначе</w:t>
      </w:r>
      <w:r w:rsidR="00A30CCD">
        <w:rPr>
          <w:rFonts w:ascii="Times New Roman" w:hAnsi="Times New Roman" w:cs="Times New Roman"/>
          <w:b/>
          <w:sz w:val="24"/>
          <w:szCs w:val="24"/>
          <w:lang w:val="ru-RU"/>
        </w:rPr>
        <w:t>н</w:t>
      </w:r>
      <w:r w:rsidRPr="009F3D42">
        <w:rPr>
          <w:rFonts w:ascii="Times New Roman" w:hAnsi="Times New Roman" w:cs="Times New Roman"/>
          <w:b/>
          <w:sz w:val="24"/>
          <w:szCs w:val="24"/>
          <w:lang w:val="ru-RU"/>
        </w:rPr>
        <w:t>ням</w:t>
      </w:r>
      <w:proofErr w:type="spellEnd"/>
      <w:r w:rsidRPr="009F3D42">
        <w:rPr>
          <w:rFonts w:ascii="Times New Roman" w:hAnsi="Times New Roman" w:cs="Times New Roman"/>
          <w:b/>
          <w:sz w:val="24"/>
          <w:szCs w:val="24"/>
          <w:lang w:val="ru-RU"/>
        </w:rPr>
        <w:t xml:space="preserve"> коду за </w:t>
      </w:r>
      <w:proofErr w:type="spellStart"/>
      <w:r w:rsidRPr="009F3D42">
        <w:rPr>
          <w:rFonts w:ascii="Times New Roman" w:hAnsi="Times New Roman" w:cs="Times New Roman"/>
          <w:b/>
          <w:sz w:val="24"/>
          <w:szCs w:val="24"/>
          <w:lang w:val="ru-RU"/>
        </w:rPr>
        <w:t>Єдиним</w:t>
      </w:r>
      <w:proofErr w:type="spellEnd"/>
      <w:r w:rsidRPr="009F3D42">
        <w:rPr>
          <w:rFonts w:ascii="Times New Roman" w:hAnsi="Times New Roman" w:cs="Times New Roman"/>
          <w:b/>
          <w:sz w:val="24"/>
          <w:szCs w:val="24"/>
          <w:lang w:val="ru-RU"/>
        </w:rPr>
        <w:t xml:space="preserve"> </w:t>
      </w:r>
      <w:proofErr w:type="spellStart"/>
      <w:r w:rsidRPr="009F3D42">
        <w:rPr>
          <w:rFonts w:ascii="Times New Roman" w:hAnsi="Times New Roman" w:cs="Times New Roman"/>
          <w:b/>
          <w:sz w:val="24"/>
          <w:szCs w:val="24"/>
          <w:lang w:val="ru-RU"/>
        </w:rPr>
        <w:t>закупівельним</w:t>
      </w:r>
      <w:proofErr w:type="spellEnd"/>
      <w:r w:rsidRPr="009F3D42">
        <w:rPr>
          <w:rFonts w:ascii="Times New Roman" w:hAnsi="Times New Roman" w:cs="Times New Roman"/>
          <w:b/>
          <w:sz w:val="24"/>
          <w:szCs w:val="24"/>
          <w:lang w:val="ru-RU"/>
        </w:rPr>
        <w:t xml:space="preserve"> словником</w:t>
      </w:r>
      <w:r>
        <w:rPr>
          <w:rFonts w:ascii="Times New Roman" w:hAnsi="Times New Roman" w:cs="Times New Roman"/>
          <w:sz w:val="24"/>
          <w:szCs w:val="24"/>
          <w:lang w:val="ru-RU"/>
        </w:rPr>
        <w:t>:</w:t>
      </w:r>
      <w:r w:rsidRPr="009F3D42">
        <w:rPr>
          <w:rFonts w:ascii="Times New Roman" w:hAnsi="Times New Roman" w:cs="Times New Roman"/>
          <w:sz w:val="24"/>
          <w:szCs w:val="24"/>
          <w:lang w:val="ru-RU"/>
        </w:rPr>
        <w:t xml:space="preserve"> </w:t>
      </w:r>
      <w:r w:rsidR="00EE54D0">
        <w:rPr>
          <w:rFonts w:ascii="Times New Roman" w:hAnsi="Times New Roman" w:cs="Times New Roman"/>
          <w:sz w:val="24"/>
          <w:szCs w:val="24"/>
        </w:rPr>
        <w:t>п</w:t>
      </w:r>
      <w:r w:rsidR="00EE54D0" w:rsidRPr="00EE54D0">
        <w:rPr>
          <w:rFonts w:ascii="Times New Roman" w:hAnsi="Times New Roman" w:cs="Times New Roman"/>
          <w:sz w:val="24"/>
          <w:szCs w:val="24"/>
        </w:rPr>
        <w:t>ослуги з супроводження програмного забезпечення для автоматизації документообігу суду в Миколаївськ</w:t>
      </w:r>
      <w:r w:rsidR="00EE54D0">
        <w:rPr>
          <w:rFonts w:ascii="Times New Roman" w:hAnsi="Times New Roman" w:cs="Times New Roman"/>
          <w:sz w:val="24"/>
          <w:szCs w:val="24"/>
        </w:rPr>
        <w:t>ому окружному адміністративному суді (</w:t>
      </w:r>
      <w:r w:rsidR="00EE54D0" w:rsidRPr="00EE54D0">
        <w:rPr>
          <w:rFonts w:ascii="Times New Roman" w:hAnsi="Times New Roman" w:cs="Times New Roman"/>
          <w:sz w:val="24"/>
          <w:szCs w:val="24"/>
        </w:rPr>
        <w:t>код ДК 021:2015 72260000-5 Послуги, пов’язані з програмним забезпеченням</w:t>
      </w:r>
      <w:r w:rsidR="00EE54D0">
        <w:rPr>
          <w:rFonts w:ascii="Times New Roman" w:hAnsi="Times New Roman" w:cs="Times New Roman"/>
          <w:sz w:val="24"/>
          <w:szCs w:val="24"/>
        </w:rPr>
        <w:t>).</w:t>
      </w:r>
    </w:p>
    <w:p w:rsidR="002A69BB" w:rsidRPr="009F3D42" w:rsidRDefault="002A69BB" w:rsidP="002A69BB">
      <w:pPr>
        <w:pStyle w:val="a6"/>
        <w:ind w:firstLine="426"/>
        <w:jc w:val="both"/>
        <w:rPr>
          <w:rFonts w:ascii="Times New Roman" w:hAnsi="Times New Roman" w:cs="Times New Roman"/>
          <w:sz w:val="24"/>
          <w:szCs w:val="24"/>
        </w:rPr>
      </w:pPr>
      <w:r w:rsidRPr="009F3D42">
        <w:rPr>
          <w:rFonts w:ascii="Times New Roman" w:hAnsi="Times New Roman" w:cs="Times New Roman"/>
          <w:b/>
          <w:sz w:val="24"/>
          <w:szCs w:val="24"/>
        </w:rPr>
        <w:t>Вид/ процедура закупівлі:</w:t>
      </w:r>
      <w:r w:rsidRPr="009F3D42">
        <w:rPr>
          <w:rFonts w:ascii="Times New Roman" w:hAnsi="Times New Roman" w:cs="Times New Roman"/>
          <w:sz w:val="24"/>
          <w:szCs w:val="24"/>
        </w:rPr>
        <w:t xml:space="preserve"> </w:t>
      </w:r>
      <w:r w:rsidR="00A30CCD">
        <w:rPr>
          <w:rFonts w:ascii="Times New Roman" w:hAnsi="Times New Roman" w:cs="Times New Roman"/>
          <w:sz w:val="24"/>
          <w:szCs w:val="24"/>
        </w:rPr>
        <w:t>переговорна процедура закупівлі, відповідно до п.2 ст. 40 Закону України «Про публічні закупівлі» від 19.09.2019 року</w:t>
      </w:r>
      <w:r w:rsidRPr="009F3D42">
        <w:rPr>
          <w:rFonts w:ascii="Times New Roman" w:hAnsi="Times New Roman" w:cs="Times New Roman"/>
          <w:sz w:val="24"/>
          <w:szCs w:val="24"/>
        </w:rPr>
        <w:t>.</w:t>
      </w:r>
    </w:p>
    <w:p w:rsidR="002A69BB" w:rsidRPr="009F3D42" w:rsidRDefault="002A69BB" w:rsidP="002A69BB">
      <w:pPr>
        <w:pStyle w:val="a6"/>
        <w:ind w:firstLine="426"/>
        <w:jc w:val="both"/>
        <w:rPr>
          <w:rFonts w:ascii="Times New Roman" w:hAnsi="Times New Roman" w:cs="Times New Roman"/>
          <w:b/>
          <w:sz w:val="24"/>
          <w:szCs w:val="24"/>
        </w:rPr>
      </w:pPr>
      <w:r w:rsidRPr="009F3D42">
        <w:rPr>
          <w:rFonts w:ascii="Times New Roman" w:hAnsi="Times New Roman" w:cs="Times New Roman"/>
          <w:b/>
          <w:sz w:val="24"/>
          <w:szCs w:val="24"/>
        </w:rPr>
        <w:t xml:space="preserve">Очікувана вартість та обґрунтування очікуваної вартості предмета закупівлі: </w:t>
      </w:r>
    </w:p>
    <w:p w:rsidR="00A86EBE" w:rsidRDefault="00EE54D0" w:rsidP="00A86EBE">
      <w:pPr>
        <w:pStyle w:val="a6"/>
        <w:jc w:val="both"/>
        <w:rPr>
          <w:rStyle w:val="h-hidden"/>
          <w:rFonts w:ascii="Times New Roman" w:hAnsi="Times New Roman" w:cs="Times New Roman"/>
        </w:rPr>
      </w:pPr>
      <w:r w:rsidRPr="00A86EBE">
        <w:rPr>
          <w:rFonts w:ascii="Times New Roman" w:hAnsi="Times New Roman" w:cs="Times New Roman"/>
        </w:rPr>
        <w:t>Згідно до ст.15ˡ Закону України «Про судоустрій і статус суддів» у судах функціонує Єдина судова інформаційно-телекомунікаційна система (надалі за текстом - ЄСІТС). Рішенням Ради суддів України від 26 листопада 2010 року №30 (зі змінами) затверджено</w:t>
      </w:r>
      <w:r w:rsidRPr="00A86EBE">
        <w:rPr>
          <w:rStyle w:val="h-hidden"/>
          <w:rFonts w:ascii="Times New Roman" w:hAnsi="Times New Roman" w:cs="Times New Roman"/>
        </w:rPr>
        <w:t xml:space="preserve"> Положення про автоматизовану систему документообігу (далі – Положення). Відповідно до Положення - автоматизована система – сукупність комп’ютерних програм і відповідних програмно-апаратних комплексів судів та Державної судової адміністрації України (далі – ДСА України), що забезпечує функціонування документообігу суду, обіг інформації між судами різних інстанцій та спеціалізацій, передачу інформації до центральних баз даних залежно від спеціалізації судів, захист від несанкціонованого доступу тощо, що входить до складу ЄСІС, та забезпечують виконання завдань, визначених Положенням, в тому числі таких як: - Функціонування документообігу суду та органів системи правосуддя; - Обмін інформацією між ними та з іншими органами державної влади; - Обмін з єдиною центральною базою даних судової влади; - Оприлюднення інформації за допомогою офіційного веб-порталу Судової влади України; - Захист інформації від несанкціонованого доступу, тощо. Пунктом 5 підрозділу 1.2 Розділу І Положення визначено, що адміністратором автоматизованої системи (далі ЄСІС) та Єдиної судової інформаційно-телекомунікаційної системи (далі – ЄСІТС) є Державне підприємство «Інформаційні судові системи», яке забезпечує: - технічний супровід та здійснює підтримку працездатності автоматизованої системи в цілому згідно з вимогами ЄСІС; - створення, вдосконалення та супроводження АСДС та інших підсистем; - адміністрування централізованих ресурсів судів та органів системи правосуддя, надання до них доступу; - забезпечення зберігання та захисту даних централізованих ресурсів, у тому числі шляхом визначення конкуренції захисту від несанкціонованого доступу та засобів і методів забезпечення цілісності їх баз даних; - координацію і супроводження створення комплексної системи захисту інформації інформаційно-телекомунікаційної системи в органах, що використовують АСДС та інші підсистеми, як складову інформаційно-телекомунікаційної системи; затвердження єдиної політики безпеки використання АСДС, обов’язкових до застосування цими органами; підтримку сервісу обміну обліково-статистичними та </w:t>
      </w:r>
      <w:proofErr w:type="spellStart"/>
      <w:r w:rsidRPr="00A86EBE">
        <w:rPr>
          <w:rStyle w:val="h-hidden"/>
          <w:rFonts w:ascii="Times New Roman" w:hAnsi="Times New Roman" w:cs="Times New Roman"/>
        </w:rPr>
        <w:t>реєстраційно</w:t>
      </w:r>
      <w:proofErr w:type="spellEnd"/>
      <w:r w:rsidRPr="00A86EBE">
        <w:rPr>
          <w:rStyle w:val="h-hidden"/>
          <w:rFonts w:ascii="Times New Roman" w:hAnsi="Times New Roman" w:cs="Times New Roman"/>
        </w:rPr>
        <w:t xml:space="preserve">-контрольними картками, електронними документами суду, органу системи правосуддя з ЦБД у відповідності до протоколів обміну, затверджених адміністратором; виконання цих та інших функцій, передбачених Положенням та взятими на себе договірними зобов’язаннями. Технічний супровід та підтримка працездатності автоматизованої системи в місцевих та апеляційних адміністративних судах, за змістом Положення, здійснюються адміністратором автоматизованої системи на підставі укладених договорів з відповідними судами загальної юрисдикції. З метою належного функціонування ЄСІС на виконання вимог чинного законодавства з питань технічного захисту інформації, договірної документації Державним підприємством «Інформаційні судові системи» надане Замовнику обладнання для </w:t>
      </w:r>
      <w:r w:rsidRPr="00A86EBE">
        <w:rPr>
          <w:rStyle w:val="h-hidden"/>
          <w:rFonts w:ascii="Times New Roman" w:hAnsi="Times New Roman" w:cs="Times New Roman"/>
        </w:rPr>
        <w:lastRenderedPageBreak/>
        <w:t>забезпечення програмно-технічної платформи обробки даних. Відповідно до змін, в судах України, а також у Вищій раді правосуддя, Вищій кваліфікаційній комісії суддів України, Державній судовій адміністрації України, їх органах та підрозділах здійснено тестовий режим експлуатації Єдиної судової інформаційно-телекомунікаційної системи, що продовжується у складі наступних підсистем (модулів): Єдиний контакт-центр судової влади України; Єдина підсистема управління фінансово-господарськими процесами; Офіційна електронна адреса (Електронний кабінет); Офіційний веб-портал «Судова влада України»; Єдиний державний реєстр судових рішень; Електронний суд; Автоматизований розподіл; Судова статистика. Для забезпечення безперебійної роботи судової системи будь-яка система електронного суду повинна тісно інтегруватися з інформаційною системою, вже існуючою у судах України. На сьогоднішній день Підприємством напрацьовано унікальний досвід щодо обробки значних масивів даних, розробки форматів та протоколів обміну даними у електронному вигляді, реалізації та впровадження центральних серверів обміну повідомленнями та відповідних електронних сервісів, створення відповідних інтерфейсів користувача та вирішення технічних та організаційних питань у національному масштабі. Тому слід звернути увагу, що, використовуючи надбаний досвід та технології, Підприємство має можливість створити таку інтеграцію, не порушуючи налагоджених виробничих процесів у судах. Таким чином, можна зробити висновок про те, що ДП «Інформаційні судові системи» є первинним постачальником послуг засобами автоматизованої системи документообігу суду, крім цього, Підприємством реалізовано повний набір механізмів, що забезпечує надання зазначених послуг. Застосування переговірної процедури зумовлено тим, що можлива зміна адміністратора ЄСІС унеможливить супроводження та технічну підтримку ЄСІС, що у свою чергу призведе до призупинення автоматичної відправки рішень до Єдиного державного реєстру судових рішень, збільшення навантаження на співробітників суду для ведення інформаційно-довідкової роботи у суді, виникнення необхідності в конвертації даних, що накопичувалися в ЄСІС, ускладнення роботи з центральною базою даних, яка містить всі документи, що створюються у судовій системи. Також використання іншого програмного продукту може привести до зупинки обміну даними між судами загальної юрисдикції та органами досудового слідства, що у свою чергу на певний період (до створення відповідних умов) призведе до повної зупинки функціонування ЄСІС. Відповідно до частини 1 статті 8 Закону України «Про авторське право і суміжні права, комп’ютерні програми є об’єктами авторського права. Все зазначене вище програмне забезпечення, комп’ютерні програми з вбудованими модулями, права інтелектуальної власності, права на які передано ДП «Інформаційні судові системи», мають ознаки об’єктів авторського права. Це підтверджується тим, що по-перше, відповідно до наданих на дослідження документів, вони мають об’єктивну форму свого вираження, а по-друге, надані на дослідження документи не містять інформації, яка б спростовувала наявність творчої праці при їх створенні. Відповідно до п. 18 Постанови Пленуму Верховного суду України «&lt;…&gt; Якщо не доведено інше, результат інтелектуальної діяльності вважається створеним творчою працею». Документами, що підтверджує наявність умов застосування переговорної процедури закупівлі з підстав відсутності конкуренції (у тому числі з технічних причин) на відповідному ринку, внаслідок чого договір про закупівлю може бути укладено лише з одним постачальником, за відсутності при цьому альтернативи, можуть вважитися Накази ДСА від 07.11.2019 № 1096, від 28.02.2020 № 99, від 28.02.3030 № 99 та від 31.03.2020 №149, укладеними договорами: про закупівлю послуг за державні кошти (послуг з системного супроводу програмного забезпечення документообігу, централізованого адміністрування мереж, інформаційних ресурсів та технічної підтримки місцевих загальних судів. Крім цього, надання зазначених послуг іншим виконавцем в умовах певного дефіциту часу, оскільки система вже впроваджена в діяльність і перерви в її обслуговувані є неприпустимими, ймовірніше за все, буде потребувати залучення додаткового персоналу, що призведе до збільшення вартості послуг. За результатом аналізу наявних та виявлених відомостей, враховуючи наведене вище, урахувавши усі суттєві факти, тією мірою, якою вони представлені в матеріалах, що надійшли на дослідження, за результатом проведення повного дослідження (в межах поставленого питання), на підставі спеціальних знань (в межах компетенції) експертів, зроблено висновок про те, що обрання переговорної процедури закупівлі при проведенні закупівлі послуг з централізованого адміністрування мереж, інформаційних ресурсів та послуг технічної підтримки судів у державного підприємства «Інформаційні судові системи» відповідно до п. 2 ч. 2 ст. 40 Закону України «Про публічні закупівлі» від 25 грудня 2015 року № 922-VIІI (зі змінами), а саме: якщо роботи, товари чи послуги можуть бути виконані, поставлені чи надані виключно певним суб’єктом господарювання за наявності одного з таких випадків: відсутність конкуренції з технічних причин, яка має бути документально підтверджена замовником; існує необхідність захисту прав інтелектуальної власності, є обґрунтованою. Зазначена позиція викладена у Висновку № 598 комплексного експертного дослідження від 25 січня 2022 року Національної академії правових наук України Науково-дослідного інституту інтелектуальної власності.</w:t>
      </w:r>
    </w:p>
    <w:p w:rsidR="00E87B0E" w:rsidRPr="00E87B0E" w:rsidRDefault="00A86EBE" w:rsidP="00A86EBE">
      <w:pPr>
        <w:pStyle w:val="a6"/>
        <w:jc w:val="both"/>
        <w:rPr>
          <w:rFonts w:ascii="Times New Roman" w:hAnsi="Times New Roman" w:cs="Times New Roman"/>
        </w:rPr>
      </w:pPr>
      <w:r>
        <w:rPr>
          <w:rStyle w:val="h-hidden"/>
          <w:rFonts w:ascii="Times New Roman" w:hAnsi="Times New Roman" w:cs="Times New Roman"/>
        </w:rPr>
        <w:lastRenderedPageBreak/>
        <w:t xml:space="preserve">        </w:t>
      </w:r>
      <w:r w:rsidR="00E87B0E" w:rsidRPr="00E87B0E">
        <w:rPr>
          <w:rFonts w:ascii="Times New Roman" w:hAnsi="Times New Roman" w:cs="Times New Roman"/>
          <w:shd w:val="clear" w:color="auto" w:fill="FFFFFF"/>
        </w:rPr>
        <w:t xml:space="preserve">Закупівля проводиться на очікувану вартість, яка визначена з урахуванням </w:t>
      </w:r>
      <w:r w:rsidR="00FD07C7">
        <w:rPr>
          <w:rFonts w:ascii="Times New Roman" w:hAnsi="Times New Roman" w:cs="Times New Roman"/>
          <w:shd w:val="clear" w:color="auto" w:fill="FFFFFF"/>
        </w:rPr>
        <w:t xml:space="preserve">потреби </w:t>
      </w:r>
      <w:r w:rsidR="00C44D43">
        <w:rPr>
          <w:rFonts w:ascii="Times New Roman" w:hAnsi="Times New Roman" w:cs="Times New Roman"/>
          <w:shd w:val="clear" w:color="auto" w:fill="FFFFFF"/>
        </w:rPr>
        <w:t>Миколаївського окружного адміністративного суду</w:t>
      </w:r>
      <w:r w:rsidR="00FD07C7">
        <w:rPr>
          <w:rFonts w:ascii="Times New Roman" w:hAnsi="Times New Roman" w:cs="Times New Roman"/>
          <w:shd w:val="clear" w:color="auto" w:fill="FFFFFF"/>
        </w:rPr>
        <w:t xml:space="preserve"> та визначено у калькуляції (</w:t>
      </w:r>
      <w:r w:rsidR="002E2CBF">
        <w:rPr>
          <w:rFonts w:ascii="Times New Roman" w:hAnsi="Times New Roman" w:cs="Times New Roman"/>
          <w:shd w:val="clear" w:color="auto" w:fill="FFFFFF"/>
        </w:rPr>
        <w:t>розрахунку</w:t>
      </w:r>
      <w:r w:rsidR="00FD07C7">
        <w:rPr>
          <w:rFonts w:ascii="Times New Roman" w:hAnsi="Times New Roman" w:cs="Times New Roman"/>
          <w:shd w:val="clear" w:color="auto" w:fill="FFFFFF"/>
        </w:rPr>
        <w:t>)</w:t>
      </w:r>
      <w:r w:rsidR="002E2CBF">
        <w:rPr>
          <w:rFonts w:ascii="Times New Roman" w:hAnsi="Times New Roman" w:cs="Times New Roman"/>
          <w:shd w:val="clear" w:color="auto" w:fill="FFFFFF"/>
        </w:rPr>
        <w:t xml:space="preserve">. </w:t>
      </w:r>
      <w:r w:rsidR="00136DEC">
        <w:rPr>
          <w:rFonts w:ascii="Times New Roman" w:hAnsi="Times New Roman" w:cs="Times New Roman"/>
          <w:shd w:val="clear" w:color="auto" w:fill="FFFFFF"/>
        </w:rPr>
        <w:t>Очікувана вартість закупівлі</w:t>
      </w:r>
      <w:r w:rsidR="002E2CBF">
        <w:rPr>
          <w:rFonts w:ascii="Times New Roman" w:hAnsi="Times New Roman" w:cs="Times New Roman"/>
          <w:shd w:val="clear" w:color="auto" w:fill="FFFFFF"/>
        </w:rPr>
        <w:t xml:space="preserve"> на 202</w:t>
      </w:r>
      <w:r w:rsidR="00B524D7">
        <w:rPr>
          <w:rFonts w:ascii="Times New Roman" w:hAnsi="Times New Roman" w:cs="Times New Roman"/>
          <w:shd w:val="clear" w:color="auto" w:fill="FFFFFF"/>
        </w:rPr>
        <w:t>2</w:t>
      </w:r>
      <w:r w:rsidR="002E2CBF">
        <w:rPr>
          <w:rFonts w:ascii="Times New Roman" w:hAnsi="Times New Roman" w:cs="Times New Roman"/>
          <w:shd w:val="clear" w:color="auto" w:fill="FFFFFF"/>
        </w:rPr>
        <w:t xml:space="preserve"> рік </w:t>
      </w:r>
      <w:r w:rsidR="00136DEC">
        <w:rPr>
          <w:rFonts w:ascii="Times New Roman" w:hAnsi="Times New Roman" w:cs="Times New Roman"/>
          <w:shd w:val="clear" w:color="auto" w:fill="FFFFFF"/>
        </w:rPr>
        <w:t xml:space="preserve"> –</w:t>
      </w:r>
      <w:r w:rsidR="00FD07C7" w:rsidRPr="00C44D43">
        <w:t xml:space="preserve"> </w:t>
      </w:r>
      <w:r w:rsidR="00EE54D0">
        <w:rPr>
          <w:rFonts w:ascii="Times New Roman" w:hAnsi="Times New Roman" w:cs="Times New Roman"/>
        </w:rPr>
        <w:t>222007,68</w:t>
      </w:r>
      <w:r w:rsidR="00B524D7">
        <w:rPr>
          <w:rFonts w:ascii="Times New Roman" w:hAnsi="Times New Roman" w:cs="Times New Roman"/>
          <w:shd w:val="clear" w:color="auto" w:fill="FFFFFF"/>
        </w:rPr>
        <w:t xml:space="preserve"> </w:t>
      </w:r>
      <w:r w:rsidR="00FD07C7">
        <w:rPr>
          <w:rFonts w:ascii="Times New Roman" w:hAnsi="Times New Roman" w:cs="Times New Roman"/>
          <w:shd w:val="clear" w:color="auto" w:fill="FFFFFF"/>
        </w:rPr>
        <w:t xml:space="preserve"> </w:t>
      </w:r>
      <w:r w:rsidR="00136DEC">
        <w:rPr>
          <w:rFonts w:ascii="Times New Roman" w:hAnsi="Times New Roman" w:cs="Times New Roman"/>
          <w:shd w:val="clear" w:color="auto" w:fill="FFFFFF"/>
        </w:rPr>
        <w:t>грн. з ПДВ.</w:t>
      </w:r>
    </w:p>
    <w:p w:rsidR="00C76FED" w:rsidRPr="002E2CBF" w:rsidRDefault="00C76FED" w:rsidP="00C76FED">
      <w:pPr>
        <w:keepLines/>
        <w:spacing w:after="0"/>
        <w:rPr>
          <w:rFonts w:ascii="Times New Roman" w:hAnsi="Times New Roman" w:cs="Times New Roman"/>
          <w:b/>
          <w:sz w:val="24"/>
          <w:szCs w:val="24"/>
          <w:u w:val="single"/>
          <w:lang w:val="uk-UA"/>
        </w:rPr>
      </w:pPr>
    </w:p>
    <w:p w:rsidR="00C76FED" w:rsidRDefault="00C76FED" w:rsidP="00C76FED">
      <w:pPr>
        <w:keepLines/>
        <w:spacing w:after="0"/>
        <w:rPr>
          <w:rFonts w:ascii="Times New Roman" w:hAnsi="Times New Roman" w:cs="Times New Roman"/>
          <w:b/>
          <w:sz w:val="24"/>
          <w:szCs w:val="24"/>
          <w:u w:val="single"/>
          <w:lang w:val="uk-UA"/>
        </w:rPr>
      </w:pPr>
    </w:p>
    <w:p w:rsidR="00C76FED" w:rsidRDefault="00C76FED" w:rsidP="00C76FED">
      <w:pPr>
        <w:keepLines/>
        <w:spacing w:after="0"/>
        <w:rPr>
          <w:rFonts w:ascii="Times New Roman" w:hAnsi="Times New Roman" w:cs="Times New Roman"/>
          <w:b/>
          <w:sz w:val="24"/>
          <w:szCs w:val="24"/>
          <w:u w:val="single"/>
          <w:lang w:val="uk-UA"/>
        </w:rPr>
      </w:pPr>
    </w:p>
    <w:p w:rsidR="00C76FED" w:rsidRDefault="00C76FED" w:rsidP="00C76FED">
      <w:pPr>
        <w:keepLines/>
        <w:spacing w:after="0"/>
        <w:rPr>
          <w:rFonts w:ascii="Times New Roman" w:hAnsi="Times New Roman" w:cs="Times New Roman"/>
          <w:b/>
          <w:sz w:val="24"/>
          <w:szCs w:val="24"/>
          <w:u w:val="single"/>
          <w:lang w:val="uk-UA"/>
        </w:rPr>
      </w:pPr>
    </w:p>
    <w:p w:rsidR="00C76FED" w:rsidRDefault="00C76FED" w:rsidP="00C76FED">
      <w:pPr>
        <w:keepLines/>
        <w:spacing w:after="0"/>
        <w:rPr>
          <w:rFonts w:ascii="Times New Roman" w:hAnsi="Times New Roman" w:cs="Times New Roman"/>
          <w:b/>
          <w:sz w:val="24"/>
          <w:szCs w:val="24"/>
          <w:u w:val="single"/>
          <w:lang w:val="uk-UA"/>
        </w:rPr>
      </w:pPr>
    </w:p>
    <w:p w:rsidR="00C76FED" w:rsidRPr="00C76FED" w:rsidRDefault="00C76FED" w:rsidP="00C76FED">
      <w:pPr>
        <w:shd w:val="clear" w:color="auto" w:fill="FFFFFF"/>
        <w:suppressAutoHyphens w:val="0"/>
        <w:spacing w:after="100" w:afterAutospacing="1" w:line="240" w:lineRule="auto"/>
        <w:ind w:left="567"/>
        <w:rPr>
          <w:rFonts w:ascii="SourceSansPro" w:eastAsia="Times New Roman" w:hAnsi="SourceSansPro" w:cs="Times New Roman"/>
          <w:color w:val="1D1D1B"/>
          <w:sz w:val="15"/>
          <w:szCs w:val="15"/>
          <w:lang w:val="uk-UA" w:eastAsia="ru-RU"/>
        </w:rPr>
      </w:pPr>
      <w:r w:rsidRPr="00C76FED">
        <w:rPr>
          <w:rFonts w:ascii="Arial" w:eastAsia="Times New Roman" w:hAnsi="Arial" w:cs="Arial"/>
          <w:b/>
          <w:bCs/>
          <w:i/>
          <w:iCs/>
          <w:color w:val="1D1D1B"/>
          <w:sz w:val="15"/>
          <w:lang w:eastAsia="ru-RU"/>
        </w:rPr>
        <w:t> </w:t>
      </w:r>
    </w:p>
    <w:p w:rsidR="00C76FED" w:rsidRPr="00C76FED" w:rsidRDefault="00C76FED" w:rsidP="00C76FED">
      <w:pPr>
        <w:shd w:val="clear" w:color="auto" w:fill="FFFFFF"/>
        <w:suppressAutoHyphens w:val="0"/>
        <w:spacing w:after="100" w:afterAutospacing="1" w:line="240" w:lineRule="auto"/>
        <w:ind w:left="567"/>
        <w:jc w:val="both"/>
        <w:rPr>
          <w:rFonts w:ascii="SourceSansPro" w:eastAsia="Times New Roman" w:hAnsi="SourceSansPro" w:cs="Times New Roman"/>
          <w:color w:val="1D1D1B"/>
          <w:sz w:val="15"/>
          <w:szCs w:val="15"/>
          <w:lang w:val="uk-UA" w:eastAsia="ru-RU"/>
        </w:rPr>
      </w:pPr>
      <w:r w:rsidRPr="00C76FED">
        <w:rPr>
          <w:rFonts w:ascii="Arial" w:eastAsia="Times New Roman" w:hAnsi="Arial" w:cs="Arial"/>
          <w:b/>
          <w:bCs/>
          <w:i/>
          <w:iCs/>
          <w:color w:val="333333"/>
          <w:sz w:val="15"/>
          <w:lang w:eastAsia="ru-RU"/>
        </w:rPr>
        <w:t> </w:t>
      </w:r>
    </w:p>
    <w:p w:rsidR="00C76FED" w:rsidRDefault="00C76FED" w:rsidP="00C76FED">
      <w:pPr>
        <w:keepLines/>
        <w:spacing w:after="0"/>
        <w:rPr>
          <w:rFonts w:ascii="Times New Roman" w:hAnsi="Times New Roman" w:cs="Times New Roman"/>
          <w:b/>
          <w:sz w:val="24"/>
          <w:szCs w:val="24"/>
          <w:u w:val="single"/>
          <w:lang w:val="uk-UA"/>
        </w:rPr>
      </w:pPr>
    </w:p>
    <w:p w:rsidR="00C76FED" w:rsidRPr="00C76FED" w:rsidRDefault="006A2EA5" w:rsidP="00C76FED">
      <w:pPr>
        <w:rPr>
          <w:lang w:val="uk-UA"/>
        </w:rPr>
      </w:pPr>
      <w:r>
        <w:rPr>
          <w:rFonts w:ascii="Times New Roman" w:hAnsi="Times New Roman" w:cs="Times New Roman"/>
          <w:b/>
          <w:sz w:val="24"/>
          <w:szCs w:val="24"/>
          <w:u w:val="single"/>
          <w:lang w:val="uk-UA"/>
        </w:rPr>
        <w:t xml:space="preserve"> </w:t>
      </w:r>
    </w:p>
    <w:p w:rsidR="000B61EB" w:rsidRPr="00C76FED" w:rsidRDefault="000B61EB">
      <w:pPr>
        <w:rPr>
          <w:lang w:val="uk-UA"/>
        </w:rPr>
      </w:pPr>
    </w:p>
    <w:sectPr w:rsidR="000B61EB" w:rsidRPr="00C76FED" w:rsidSect="001A07F6">
      <w:pgSz w:w="11906" w:h="16838"/>
      <w:pgMar w:top="1134" w:right="850" w:bottom="1134" w:left="1134" w:header="720" w:footer="720" w:gutter="0"/>
      <w:cols w:space="72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ont280">
    <w:altName w:val="Times New Roman"/>
    <w:charset w:val="CC"/>
    <w:family w:val="auto"/>
    <w:pitch w:val="variable"/>
  </w:font>
  <w:font w:name="Arial">
    <w:panose1 w:val="020B0604020202020204"/>
    <w:charset w:val="CC"/>
    <w:family w:val="swiss"/>
    <w:pitch w:val="variable"/>
    <w:sig w:usb0="E0002EFF" w:usb1="C000785B" w:usb2="00000009" w:usb3="00000000" w:csb0="000001FF" w:csb1="00000000"/>
  </w:font>
  <w:font w:name="SourceSansPro">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2377A6"/>
    <w:multiLevelType w:val="hybridMultilevel"/>
    <w:tmpl w:val="DEA4B7DA"/>
    <w:lvl w:ilvl="0" w:tplc="B80AE832">
      <w:start w:val="1"/>
      <w:numFmt w:val="decimal"/>
      <w:lvlText w:val="%1."/>
      <w:lvlJc w:val="left"/>
      <w:pPr>
        <w:ind w:left="720" w:hanging="360"/>
      </w:pPr>
      <w:rPr>
        <w:rFonts w:hint="default"/>
        <w:b/>
        <w:i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9EB29E9"/>
    <w:multiLevelType w:val="multilevel"/>
    <w:tmpl w:val="300CB66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8343E34"/>
    <w:multiLevelType w:val="multilevel"/>
    <w:tmpl w:val="4198B24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ECA12BA"/>
    <w:multiLevelType w:val="multilevel"/>
    <w:tmpl w:val="333C157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022275D"/>
    <w:multiLevelType w:val="multilevel"/>
    <w:tmpl w:val="89CCDF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2D471F3"/>
    <w:multiLevelType w:val="multilevel"/>
    <w:tmpl w:val="94F86BF2"/>
    <w:lvl w:ilvl="0">
      <w:start w:val="1"/>
      <w:numFmt w:val="bullet"/>
      <w:lvlText w:val=""/>
      <w:lvlJc w:val="left"/>
      <w:pPr>
        <w:ind w:left="0" w:firstLine="0"/>
      </w:pPr>
      <w:rPr>
        <w:rFonts w:ascii="Symbol" w:hAnsi="Symbol" w:hint="default"/>
        <w:b/>
        <w:i w:val="0"/>
        <w:sz w:val="24"/>
      </w:rPr>
    </w:lvl>
    <w:lvl w:ilvl="1">
      <w:start w:val="1"/>
      <w:numFmt w:val="decimal"/>
      <w:suff w:val="space"/>
      <w:lvlText w:val="%2."/>
      <w:lvlJc w:val="left"/>
      <w:pPr>
        <w:ind w:left="0" w:firstLine="0"/>
      </w:pPr>
      <w:rPr>
        <w:rFonts w:hint="default"/>
        <w:b/>
        <w:i w:val="0"/>
        <w:sz w:val="24"/>
      </w:rPr>
    </w:lvl>
    <w:lvl w:ilvl="2">
      <w:start w:val="1"/>
      <w:numFmt w:val="decimal"/>
      <w:lvlText w:val="%2.%3."/>
      <w:lvlJc w:val="left"/>
      <w:pPr>
        <w:tabs>
          <w:tab w:val="num" w:pos="567"/>
        </w:tabs>
        <w:ind w:left="737" w:hanging="737"/>
      </w:pPr>
      <w:rPr>
        <w:rFonts w:hint="default"/>
        <w:b/>
        <w:color w:val="auto"/>
      </w:rPr>
    </w:lvl>
    <w:lvl w:ilvl="3">
      <w:start w:val="1"/>
      <w:numFmt w:val="bullet"/>
      <w:lvlText w:val=""/>
      <w:lvlJc w:val="left"/>
      <w:pPr>
        <w:tabs>
          <w:tab w:val="num" w:pos="1474"/>
        </w:tabs>
        <w:ind w:left="1474" w:hanging="737"/>
      </w:pPr>
      <w:rPr>
        <w:rFonts w:ascii="Symbol" w:hAnsi="Symbol" w:hint="default"/>
        <w:b/>
      </w:rPr>
    </w:lvl>
    <w:lvl w:ilvl="4">
      <w:start w:val="1"/>
      <w:numFmt w:val="lowerRoman"/>
      <w:lvlText w:val="(%5)"/>
      <w:lvlJc w:val="left"/>
      <w:pPr>
        <w:tabs>
          <w:tab w:val="num" w:pos="2041"/>
        </w:tabs>
        <w:ind w:left="2041" w:hanging="567"/>
      </w:pPr>
      <w:rPr>
        <w:rFonts w:hint="default"/>
        <w:b/>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5"/>
  </w:num>
  <w:num w:numId="2">
    <w:abstractNumId w:val="4"/>
  </w:num>
  <w:num w:numId="3">
    <w:abstractNumId w:val="2"/>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FED"/>
    <w:rsid w:val="000471AA"/>
    <w:rsid w:val="000B61EB"/>
    <w:rsid w:val="00136DEC"/>
    <w:rsid w:val="002316FA"/>
    <w:rsid w:val="002A69BB"/>
    <w:rsid w:val="002E2CBF"/>
    <w:rsid w:val="004B7994"/>
    <w:rsid w:val="005159DE"/>
    <w:rsid w:val="006A04BA"/>
    <w:rsid w:val="006A2EA5"/>
    <w:rsid w:val="007C1F29"/>
    <w:rsid w:val="007C44F7"/>
    <w:rsid w:val="008825A0"/>
    <w:rsid w:val="00A30CCD"/>
    <w:rsid w:val="00A86EBE"/>
    <w:rsid w:val="00B524D7"/>
    <w:rsid w:val="00C44D43"/>
    <w:rsid w:val="00C50F91"/>
    <w:rsid w:val="00C76FED"/>
    <w:rsid w:val="00D311DE"/>
    <w:rsid w:val="00E152AA"/>
    <w:rsid w:val="00E87B0E"/>
    <w:rsid w:val="00EE54D0"/>
    <w:rsid w:val="00FD07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F6120"/>
  <w15:docId w15:val="{06A6FC2D-EB39-43ED-8915-BF216D520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6FED"/>
    <w:pPr>
      <w:suppressAutoHyphens/>
    </w:pPr>
    <w:rPr>
      <w:rFonts w:ascii="Calibri" w:eastAsia="SimSun" w:hAnsi="Calibri" w:cs="font28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C76FED"/>
    <w:rPr>
      <w:i/>
      <w:iCs/>
    </w:rPr>
  </w:style>
  <w:style w:type="paragraph" w:styleId="a4">
    <w:name w:val="Normal (Web)"/>
    <w:basedOn w:val="a"/>
    <w:uiPriority w:val="99"/>
    <w:semiHidden/>
    <w:unhideWhenUsed/>
    <w:rsid w:val="00C76FED"/>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C76FED"/>
    <w:pPr>
      <w:ind w:left="720"/>
      <w:contextualSpacing/>
    </w:pPr>
  </w:style>
  <w:style w:type="paragraph" w:styleId="a6">
    <w:name w:val="No Spacing"/>
    <w:uiPriority w:val="1"/>
    <w:qFormat/>
    <w:rsid w:val="002A69BB"/>
    <w:pPr>
      <w:spacing w:after="0" w:line="240" w:lineRule="auto"/>
    </w:pPr>
    <w:rPr>
      <w:rFonts w:ascii="Calibri" w:eastAsia="Calibri" w:hAnsi="Calibri" w:cs="Calibri"/>
      <w:lang w:val="uk-UA" w:eastAsia="ru-RU"/>
    </w:rPr>
  </w:style>
  <w:style w:type="character" w:customStyle="1" w:styleId="h-hidden">
    <w:name w:val="h-hidden"/>
    <w:basedOn w:val="a0"/>
    <w:rsid w:val="00A30C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7296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3</Pages>
  <Words>1527</Words>
  <Characters>8704</Characters>
  <Application>Microsoft Office Word</Application>
  <DocSecurity>0</DocSecurity>
  <Lines>72</Lines>
  <Paragraphs>20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10211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8</cp:revision>
  <dcterms:created xsi:type="dcterms:W3CDTF">2023-09-27T08:40:00Z</dcterms:created>
  <dcterms:modified xsi:type="dcterms:W3CDTF">2024-08-08T10:02:00Z</dcterms:modified>
</cp:coreProperties>
</file>